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A804AB">
        <w:rPr>
          <w:b/>
          <w:sz w:val="28"/>
          <w:szCs w:val="28"/>
        </w:rPr>
        <w:t>40</w:t>
      </w:r>
      <w:r w:rsidR="00620E1B">
        <w:rPr>
          <w:b/>
          <w:sz w:val="28"/>
          <w:szCs w:val="28"/>
        </w:rPr>
        <w:t xml:space="preserve">. kontrolního dne stavby dne </w:t>
      </w:r>
      <w:r w:rsidR="00A804AB">
        <w:rPr>
          <w:b/>
          <w:sz w:val="28"/>
          <w:szCs w:val="28"/>
        </w:rPr>
        <w:t>21</w:t>
      </w:r>
      <w:r w:rsidR="007D5267">
        <w:rPr>
          <w:b/>
          <w:sz w:val="28"/>
          <w:szCs w:val="28"/>
        </w:rPr>
        <w:t>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E27446">
        <w:rPr>
          <w:b/>
          <w:sz w:val="24"/>
          <w:szCs w:val="24"/>
        </w:rPr>
        <w:t>23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484CA7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FD4167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FD4167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A6770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FD4167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FD4167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A804AB">
        <w:rPr>
          <w:b/>
          <w:color w:val="FF0000"/>
          <w:sz w:val="28"/>
          <w:szCs w:val="28"/>
          <w:u w:val="single"/>
        </w:rPr>
        <w:t>5.5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3B17E2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Fasáda K1-9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EF5E6F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</w:t>
            </w:r>
            <w:r w:rsidRPr="004E2C83">
              <w:rPr>
                <w:color w:val="000000"/>
                <w:sz w:val="20"/>
                <w:szCs w:val="20"/>
              </w:rPr>
              <w:lastRenderedPageBreak/>
              <w:t xml:space="preserve">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Default="00A804AB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 xml:space="preserve">K4-1-008 a 009, 012, </w:t>
            </w:r>
            <w:r w:rsidR="00B82EB9" w:rsidRPr="004E2C83">
              <w:rPr>
                <w:color w:val="000000"/>
                <w:sz w:val="20"/>
                <w:szCs w:val="20"/>
              </w:rPr>
              <w:lastRenderedPageBreak/>
              <w:t>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077FF2" w:rsidRDefault="00610909" w:rsidP="00610909">
            <w:pPr>
              <w:tabs>
                <w:tab w:val="left" w:pos="5295"/>
              </w:tabs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KD č.30</w:t>
            </w:r>
          </w:p>
          <w:p w:rsidR="00610909" w:rsidRPr="00077FF2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  <w:highlight w:val="yellow"/>
              </w:rPr>
            </w:pPr>
            <w:r w:rsidRPr="00077FF2">
              <w:rPr>
                <w:b/>
                <w:sz w:val="20"/>
                <w:szCs w:val="20"/>
                <w:highlight w:val="yellow"/>
              </w:rPr>
              <w:t>Šablonová výmalba</w:t>
            </w:r>
          </w:p>
          <w:p w:rsidR="00610909" w:rsidRPr="00077FF2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077FF2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 xml:space="preserve">Vstup K2-1-001a – sokl šedý v. 40 cm, barva plochy patinovaná okrová </w:t>
            </w:r>
          </w:p>
          <w:p w:rsidR="00610909" w:rsidRPr="00077FF2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Chodba K2-1-001b – obnovení šablonové výmalby stropu i stěn dle nálezu</w:t>
            </w:r>
          </w:p>
          <w:p w:rsidR="00610909" w:rsidRPr="00077FF2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Místnosti K2-1-006 a K2-1-007</w:t>
            </w:r>
          </w:p>
          <w:p w:rsidR="00610909" w:rsidRPr="00077FF2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Místnosti K2-2-008, 010, 015, 018 – dle nálezů šablonová výmalba</w:t>
            </w:r>
          </w:p>
          <w:p w:rsidR="00610909" w:rsidRPr="00077FF2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Místnosti K2-2-023 a 024 – zjednodušená výmalba – linky dle nálezové situace</w:t>
            </w:r>
          </w:p>
          <w:p w:rsidR="00B3026C" w:rsidRPr="00077FF2" w:rsidRDefault="00B3026C" w:rsidP="00B3026C">
            <w:pPr>
              <w:jc w:val="both"/>
              <w:rPr>
                <w:b/>
                <w:highlight w:val="yellow"/>
              </w:rPr>
            </w:pPr>
            <w:r w:rsidRPr="00077FF2">
              <w:rPr>
                <w:b/>
                <w:highlight w:val="yellow"/>
              </w:rPr>
              <w:t>Vyjádření Ing. Papouška – zástupce SPP – MěÚ Č. Krumlov</w:t>
            </w:r>
          </w:p>
          <w:p w:rsidR="00B3026C" w:rsidRPr="00077FF2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  <w:lang w:eastAsia="zh-CN"/>
              </w:rPr>
            </w:pPr>
            <w:r w:rsidRPr="00077FF2">
              <w:rPr>
                <w:sz w:val="20"/>
                <w:szCs w:val="20"/>
                <w:highlight w:val="yellow"/>
              </w:rPr>
              <w:t>Nesouhlasíme s textem ve věci šablonových výmaleb v zápise z 30. KD ze dne 20.1.2014.</w:t>
            </w:r>
          </w:p>
          <w:p w:rsidR="00B3026C" w:rsidRPr="00077FF2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077FF2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Do textu zápisu dále dopsat:</w:t>
            </w:r>
          </w:p>
          <w:p w:rsidR="00B3026C" w:rsidRPr="00077FF2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077FF2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lastRenderedPageBreak/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077FF2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077FF2" w:rsidRDefault="00844768" w:rsidP="00844768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077FF2">
              <w:rPr>
                <w:b/>
                <w:sz w:val="20"/>
                <w:szCs w:val="20"/>
                <w:highlight w:val="yellow"/>
              </w:rPr>
              <w:t>KD č.31</w:t>
            </w:r>
          </w:p>
          <w:p w:rsidR="00675F13" w:rsidRPr="00077FF2" w:rsidRDefault="00675F13" w:rsidP="00675F13">
            <w:pPr>
              <w:spacing w:after="240"/>
              <w:rPr>
                <w:highlight w:val="yellow"/>
                <w:lang w:eastAsia="cs-CZ"/>
              </w:rPr>
            </w:pPr>
            <w:r w:rsidRPr="00077FF2">
              <w:rPr>
                <w:sz w:val="20"/>
                <w:szCs w:val="20"/>
                <w:highlight w:val="yellow"/>
              </w:rPr>
              <w:t xml:space="preserve">Libreta k výstavám jsou přístupná na profilu zadavatele </w:t>
            </w:r>
            <w:hyperlink r:id="rId34" w:history="1">
              <w:r w:rsidRPr="00077FF2">
                <w:rPr>
                  <w:rStyle w:val="Hypertextovodkaz"/>
                  <w:color w:val="auto"/>
                  <w:highlight w:val="yellow"/>
                </w:rPr>
                <w:t>http://www.e-zakazky.cz/profil-zadavatele/3d69b483-9d5c-484e-9d8f-81bd3c25381d/Zakazka/P15V00000001</w:t>
              </w:r>
            </w:hyperlink>
          </w:p>
          <w:p w:rsidR="00610909" w:rsidRPr="00077FF2" w:rsidRDefault="00675F13" w:rsidP="00261E53">
            <w:pPr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Projektant zašle do pátku 30.1.2015 návrh prezentace šablonové výmalby v objektu K2.</w:t>
            </w:r>
          </w:p>
          <w:p w:rsidR="006E5E82" w:rsidRPr="00077FF2" w:rsidRDefault="006E5E82" w:rsidP="00261E53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077FF2">
              <w:rPr>
                <w:b/>
                <w:sz w:val="20"/>
                <w:szCs w:val="20"/>
                <w:highlight w:val="yellow"/>
              </w:rPr>
              <w:t>KD č.32</w:t>
            </w:r>
          </w:p>
          <w:p w:rsidR="005908B3" w:rsidRPr="00077FF2" w:rsidRDefault="005908B3" w:rsidP="00261E53">
            <w:pPr>
              <w:jc w:val="both"/>
              <w:rPr>
                <w:sz w:val="20"/>
                <w:szCs w:val="20"/>
                <w:highlight w:val="yellow"/>
              </w:rPr>
            </w:pPr>
            <w:r w:rsidRPr="00077FF2">
              <w:rPr>
                <w:sz w:val="20"/>
                <w:szCs w:val="20"/>
                <w:highlight w:val="yellow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Pr="00077FF2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  <w:highlight w:val="yellow"/>
              </w:rPr>
            </w:pPr>
          </w:p>
          <w:p w:rsidR="003D03EA" w:rsidRPr="00FD4167" w:rsidRDefault="003D03EA" w:rsidP="003D03EA">
            <w:pPr>
              <w:tabs>
                <w:tab w:val="left" w:pos="5295"/>
              </w:tabs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FD4167">
              <w:rPr>
                <w:b/>
                <w:color w:val="000000"/>
                <w:sz w:val="20"/>
                <w:szCs w:val="20"/>
                <w:highlight w:val="yellow"/>
              </w:rPr>
              <w:t>KD č. 39</w:t>
            </w:r>
          </w:p>
          <w:p w:rsidR="003D03EA" w:rsidRPr="00FD4167" w:rsidRDefault="003D03EA" w:rsidP="003D03EA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FD4167">
              <w:rPr>
                <w:color w:val="000000"/>
                <w:sz w:val="20"/>
                <w:szCs w:val="20"/>
                <w:highlight w:val="yellow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FD4167" w:rsidRDefault="003D03EA" w:rsidP="003D03EA">
            <w:pPr>
              <w:jc w:val="both"/>
              <w:rPr>
                <w:color w:val="000000"/>
                <w:sz w:val="20"/>
                <w:szCs w:val="20"/>
                <w:highlight w:val="yellow"/>
              </w:rPr>
            </w:pPr>
            <w:r w:rsidRPr="00FD4167">
              <w:rPr>
                <w:color w:val="000000"/>
                <w:sz w:val="20"/>
                <w:szCs w:val="20"/>
                <w:highlight w:val="yellow"/>
              </w:rPr>
              <w:t>V místnosti K1-1-010 byl pro podmalbu v ploše vybrán barevný vzorek č.2 – lomené bílé.</w:t>
            </w:r>
          </w:p>
          <w:p w:rsidR="00A804AB" w:rsidRPr="00077FF2" w:rsidRDefault="00A804AB" w:rsidP="00A804AB">
            <w:pPr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077FF2">
              <w:rPr>
                <w:b/>
                <w:color w:val="FF0000"/>
                <w:sz w:val="20"/>
                <w:szCs w:val="20"/>
                <w:highlight w:val="yellow"/>
              </w:rPr>
              <w:t>KD č. 40</w:t>
            </w:r>
          </w:p>
          <w:p w:rsidR="00A804AB" w:rsidRPr="001525B3" w:rsidRDefault="00A804AB" w:rsidP="00A804AB">
            <w:pPr>
              <w:spacing w:after="0"/>
              <w:jc w:val="both"/>
              <w:rPr>
                <w:sz w:val="20"/>
                <w:szCs w:val="20"/>
              </w:rPr>
            </w:pPr>
            <w:r w:rsidRPr="00077FF2">
              <w:rPr>
                <w:color w:val="FF0000"/>
                <w:sz w:val="20"/>
                <w:szCs w:val="20"/>
                <w:highlight w:val="yellow"/>
              </w:rPr>
              <w:t>provádí se.</w:t>
            </w:r>
            <w:bookmarkStart w:id="0" w:name="_GoBack"/>
            <w:bookmarkEnd w:id="0"/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Default="001525B3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8D0309" w:rsidRPr="00E83B6F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A804AB" w:rsidRDefault="00A804AB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 xml:space="preserve">S ohledem na skutečnost, že zahánění srážek a následnému zatékání do </w:t>
            </w:r>
            <w:r w:rsidRPr="00A804AB">
              <w:rPr>
                <w:sz w:val="20"/>
                <w:szCs w:val="20"/>
              </w:rPr>
              <w:lastRenderedPageBreak/>
              <w:t>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Obklady v místnosti č. K2-2-2017.</w:t>
            </w:r>
          </w:p>
          <w:p w:rsidR="00A804AB" w:rsidRPr="00A80406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A80406">
              <w:rPr>
                <w:color w:val="FF0000"/>
                <w:sz w:val="20"/>
                <w:szCs w:val="20"/>
              </w:rPr>
              <w:t xml:space="preserve">Byl proveden </w:t>
            </w:r>
            <w:r>
              <w:rPr>
                <w:color w:val="FF0000"/>
                <w:sz w:val="20"/>
                <w:szCs w:val="20"/>
              </w:rPr>
              <w:t>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2210">
              <w:rPr>
                <w:color w:val="FF0000"/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</w:t>
            </w:r>
            <w:r>
              <w:rPr>
                <w:color w:val="FF0000"/>
                <w:sz w:val="20"/>
                <w:szCs w:val="20"/>
              </w:rPr>
              <w:t xml:space="preserve"> V místnosti K2-1-011 bude při obkladu respektována křivost zdi – zdivo nebude dorovnáváno (stěna s radiátorem).</w:t>
            </w:r>
          </w:p>
          <w:p w:rsidR="00A804AB" w:rsidRPr="00832210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425690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Je obecně doporučeno, aby při p</w:t>
            </w:r>
            <w:r>
              <w:rPr>
                <w:color w:val="FF0000"/>
                <w:sz w:val="20"/>
                <w:szCs w:val="20"/>
              </w:rPr>
              <w:t>okládání fošnových podlah nebylo realizováno nastavování fošen</w:t>
            </w:r>
            <w:r w:rsidRPr="00425690">
              <w:rPr>
                <w:color w:val="FF0000"/>
                <w:sz w:val="20"/>
                <w:szCs w:val="20"/>
              </w:rPr>
              <w:t xml:space="preserve"> v místech vstupů a komunikačních trasách.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B506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A804AB" w:rsidRPr="00BD645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FB1D81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1898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21898">
              <w:rPr>
                <w:b/>
                <w:color w:val="FF0000"/>
                <w:sz w:val="20"/>
                <w:szCs w:val="20"/>
              </w:rPr>
              <w:t xml:space="preserve">KD č. 40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E21898">
              <w:rPr>
                <w:color w:val="FF0000"/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A804AB" w:rsidRPr="00766A13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defekty zdiva a degradovanou omítkou budou prováděny jako hozené a stržené lžící, bez příměsi cementu. Oprava omítek musí probíhat pod dohledem restaurátora viz. Požadavek dle PD.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A804AB" w:rsidRPr="00EC7B6E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lastRenderedPageBreak/>
              <w:t>Šablonová výmalba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F45E40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F45E40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variantu bez prosklení stropu. Byl prokonzultován návrh provedení a doporučena varianta k dopracování bez proskleného stropu. Pokud to bude </w:t>
            </w:r>
            <w:r w:rsidRPr="00310DD4">
              <w:rPr>
                <w:sz w:val="20"/>
                <w:szCs w:val="20"/>
              </w:rPr>
              <w:lastRenderedPageBreak/>
              <w:t>potřebné pro realizaci průběžného rovného podhledu z fošen na sraz, je možné zvednout výškovou úroveň podlahy chodby.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1579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A804AB" w:rsidRPr="00B82EB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A804AB" w:rsidRPr="0054237D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A804AB" w:rsidRPr="00B16C7F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A804AB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 xml:space="preserve">prověření obnovení původní komunikačního prostoru vybouráním části druhotné zazdívky. Projektant navrhne optimální propojení těchto prostorů ve dvou </w:t>
            </w:r>
            <w:r w:rsidRPr="00A5285B">
              <w:rPr>
                <w:sz w:val="20"/>
                <w:szCs w:val="20"/>
              </w:rPr>
              <w:lastRenderedPageBreak/>
              <w:t>variantách.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A804AB" w:rsidRPr="00E808F4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A804AB" w:rsidRPr="00E62D03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D15D8A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A804AB" w:rsidRPr="00815600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A804AB" w:rsidRPr="00925987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</w:t>
            </w:r>
            <w:r w:rsidRPr="00CA2E24">
              <w:rPr>
                <w:sz w:val="20"/>
                <w:szCs w:val="20"/>
              </w:rPr>
              <w:lastRenderedPageBreak/>
              <w:t>2-029. Dveře budou provedeny celoskleněné formou bezrámového zasklení. Projektant návrhy motivu k vypískování na křídlech dveří.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36E1C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A804AB" w:rsidRPr="005678F5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 xml:space="preserve">Ve spojitosti s navrácením kachlových barokních kamen do místnosti K1-2-006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A804AB" w:rsidRPr="00DD6F5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Byl přeložen vzorek provedení reliéfu na vstupní kovaná vrata do objektu K1.</w:t>
            </w:r>
            <w:r>
              <w:rPr>
                <w:color w:val="FF0000"/>
                <w:sz w:val="20"/>
                <w:szCs w:val="20"/>
              </w:rPr>
              <w:t xml:space="preserve"> S přeloženým vzorkem byl vysloven souhlas.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V místnosti K1-1-037a bude v místě kamenného portálu patrně vybourána cihelná zazdívka na tloušťku 150 mm a takto připravený otvor bude p</w:t>
            </w:r>
            <w:r>
              <w:rPr>
                <w:color w:val="FF0000"/>
                <w:sz w:val="20"/>
                <w:szCs w:val="20"/>
              </w:rPr>
              <w:t>řed finální úpravou konečné podo</w:t>
            </w:r>
            <w:r w:rsidRPr="00425690">
              <w:rPr>
                <w:color w:val="FF0000"/>
                <w:sz w:val="20"/>
                <w:szCs w:val="20"/>
              </w:rPr>
              <w:t>by konzultován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425690">
              <w:rPr>
                <w:color w:val="FF0000"/>
                <w:sz w:val="20"/>
                <w:szCs w:val="20"/>
              </w:rPr>
              <w:t>odbornými pracovníky NPÚ.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677011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77011">
              <w:rPr>
                <w:color w:val="FF0000"/>
                <w:sz w:val="20"/>
                <w:szCs w:val="20"/>
              </w:rPr>
              <w:t>Bude provedena revize izolací potrubí vedených v podlahách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677011">
              <w:rPr>
                <w:color w:val="FF0000"/>
                <w:sz w:val="20"/>
                <w:szCs w:val="20"/>
              </w:rPr>
              <w:t>tím</w:t>
            </w:r>
            <w:r>
              <w:rPr>
                <w:color w:val="FF0000"/>
                <w:sz w:val="20"/>
                <w:szCs w:val="20"/>
              </w:rPr>
              <w:t>,</w:t>
            </w:r>
            <w:r w:rsidRPr="00677011">
              <w:rPr>
                <w:color w:val="FF0000"/>
                <w:sz w:val="20"/>
                <w:szCs w:val="20"/>
              </w:rPr>
              <w:t xml:space="preserve">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C533BD" w:rsidRPr="00796C79" w:rsidRDefault="00C533BD" w:rsidP="00C533B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CA2E24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C533BD" w:rsidRPr="00CA2E24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 xml:space="preserve">a kovářské </w:t>
            </w:r>
            <w:r w:rsidRPr="002C1555">
              <w:rPr>
                <w:bCs/>
                <w:sz w:val="20"/>
                <w:szCs w:val="20"/>
              </w:rPr>
              <w:t>prvky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796C7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</w:t>
            </w:r>
            <w:r w:rsidRPr="00BE2B4E">
              <w:rPr>
                <w:sz w:val="20"/>
                <w:szCs w:val="20"/>
              </w:rPr>
              <w:lastRenderedPageBreak/>
              <w:t xml:space="preserve">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EC7539" w:rsidRPr="000D78E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EC7539" w:rsidRPr="00893EDE" w:rsidRDefault="00EC7539" w:rsidP="00EC7539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2569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KD č. 40</w:t>
            </w:r>
          </w:p>
          <w:p w:rsidR="00EC7539" w:rsidRPr="00425690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2E68A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EC7539" w:rsidRPr="002F47C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color w:val="FF0000"/>
                <w:sz w:val="20"/>
                <w:szCs w:val="20"/>
              </w:rPr>
              <w:t>Revize svítidel byla předložena.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EC7539" w:rsidRPr="0035034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EC7539" w:rsidRPr="00CE6EA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EC7539" w:rsidRPr="009758B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EC7539" w:rsidRPr="009758BD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EC7539" w:rsidRPr="004C513F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2430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lastRenderedPageBreak/>
              <w:t>KD č.28</w:t>
            </w:r>
          </w:p>
          <w:p w:rsidR="00EC7539" w:rsidRPr="00E2430F" w:rsidRDefault="00EC7539" w:rsidP="00EC753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EC7539" w:rsidRPr="005678F5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EC7539" w:rsidRPr="00DD6F5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lastRenderedPageBreak/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EC7539" w:rsidRPr="00583E67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O.25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EC7539" w:rsidRPr="00002FFA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723342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EC7539" w:rsidRPr="00AE66A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 21. 4. – 5. 5. 2015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21.4.2015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167" w:rsidRDefault="00FD4167" w:rsidP="00BD0FE0">
      <w:pPr>
        <w:spacing w:after="0" w:line="240" w:lineRule="auto"/>
      </w:pPr>
      <w:r>
        <w:separator/>
      </w:r>
    </w:p>
  </w:endnote>
  <w:endnote w:type="continuationSeparator" w:id="0">
    <w:p w:rsidR="00FD4167" w:rsidRDefault="00FD4167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0ED1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077FF2">
      <w:rPr>
        <w:noProof/>
      </w:rPr>
      <w:t>23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167" w:rsidRDefault="00FD4167" w:rsidP="00BD0FE0">
      <w:pPr>
        <w:spacing w:after="0" w:line="240" w:lineRule="auto"/>
      </w:pPr>
      <w:r>
        <w:separator/>
      </w:r>
    </w:p>
  </w:footnote>
  <w:footnote w:type="continuationSeparator" w:id="0">
    <w:p w:rsidR="00FD4167" w:rsidRDefault="00FD4167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FD4167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3B17E2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Předmět</w:t>
          </w:r>
        </w:p>
      </w:tc>
      <w:tc>
        <w:tcPr>
          <w:tcW w:w="5768" w:type="dxa"/>
          <w:vAlign w:val="center"/>
        </w:tcPr>
        <w:p w:rsidR="00017B8F" w:rsidRPr="003B17E2" w:rsidRDefault="00017B8F" w:rsidP="00766A13">
          <w:pPr>
            <w:pStyle w:val="Zhlav"/>
            <w:jc w:val="center"/>
          </w:pPr>
          <w:r w:rsidRPr="00667238">
            <w:t>Zápis z kontrolního dne stavby</w:t>
          </w:r>
        </w:p>
      </w:tc>
      <w:tc>
        <w:tcPr>
          <w:tcW w:w="2410" w:type="dxa"/>
          <w:vAlign w:val="center"/>
        </w:tcPr>
        <w:p w:rsidR="00017B8F" w:rsidRPr="003B17E2" w:rsidRDefault="00A804AB" w:rsidP="007D5267">
          <w:pPr>
            <w:pStyle w:val="Zhlav"/>
            <w:jc w:val="center"/>
          </w:pPr>
          <w:r w:rsidRPr="00667238">
            <w:t>Dne 21</w:t>
          </w:r>
          <w:r w:rsidR="00017B8F" w:rsidRPr="00667238">
            <w:t>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77FF2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B4186"/>
    <w:rsid w:val="001B7304"/>
    <w:rsid w:val="001C0EC9"/>
    <w:rsid w:val="001C21EE"/>
    <w:rsid w:val="001C25A8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17E2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047"/>
    <w:rsid w:val="00476F3A"/>
    <w:rsid w:val="004804E1"/>
    <w:rsid w:val="004807F9"/>
    <w:rsid w:val="004847E0"/>
    <w:rsid w:val="00484CA7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67238"/>
    <w:rsid w:val="00672E7D"/>
    <w:rsid w:val="00675F13"/>
    <w:rsid w:val="006771B1"/>
    <w:rsid w:val="00680ED1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04A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163A6"/>
    <w:rsid w:val="00C3072A"/>
    <w:rsid w:val="00C33C65"/>
    <w:rsid w:val="00C35D24"/>
    <w:rsid w:val="00C373A3"/>
    <w:rsid w:val="00C40F6B"/>
    <w:rsid w:val="00C41B49"/>
    <w:rsid w:val="00C533BD"/>
    <w:rsid w:val="00C549BD"/>
    <w:rsid w:val="00C5519B"/>
    <w:rsid w:val="00C55E0C"/>
    <w:rsid w:val="00C56B20"/>
    <w:rsid w:val="00C63DC8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27446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539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D4167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EEB81549-4523-4660-8AA7-9FC7F49A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AC567-CAF5-4B87-A050-3A5C4798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6427</Words>
  <Characters>37925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2014-05-07T15:02:00Z</cp:lastPrinted>
  <dcterms:created xsi:type="dcterms:W3CDTF">2015-07-21T04:49:00Z</dcterms:created>
  <dcterms:modified xsi:type="dcterms:W3CDTF">2015-07-22T02:56:00Z</dcterms:modified>
</cp:coreProperties>
</file>